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71C4DF">
      <w:pPr>
        <w:widowControl/>
        <w:shd w:val="clear" w:color="auto" w:fill="FFFFFF"/>
        <w:spacing w:line="72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333333"/>
          <w:spacing w:val="10"/>
          <w:kern w:val="0"/>
          <w:sz w:val="44"/>
          <w:szCs w:val="44"/>
          <w:shd w:val="clear" w:color="auto" w:fill="FFFFFF"/>
          <w:lang w:bidi="ar"/>
        </w:rPr>
      </w:pPr>
      <w:r>
        <w:rPr>
          <w:rFonts w:hint="eastAsia" w:ascii="方正小标宋简体" w:hAnsi="方正小标宋简体" w:eastAsia="方正小标宋简体" w:cs="方正小标宋简体"/>
          <w:bCs/>
          <w:color w:val="333333"/>
          <w:spacing w:val="10"/>
          <w:kern w:val="0"/>
          <w:sz w:val="44"/>
          <w:szCs w:val="44"/>
          <w:shd w:val="clear" w:color="auto" w:fill="FFFFFF"/>
          <w:lang w:bidi="ar"/>
        </w:rPr>
        <w:t>华南农业大学202</w:t>
      </w:r>
      <w:r>
        <w:rPr>
          <w:rFonts w:hint="eastAsia" w:ascii="方正小标宋简体" w:hAnsi="方正小标宋简体" w:eastAsia="方正小标宋简体" w:cs="方正小标宋简体"/>
          <w:bCs/>
          <w:color w:val="333333"/>
          <w:spacing w:val="10"/>
          <w:kern w:val="0"/>
          <w:sz w:val="44"/>
          <w:szCs w:val="44"/>
          <w:shd w:val="clear" w:color="auto" w:fill="FFFFFF"/>
          <w:lang w:val="en-US" w:eastAsia="zh-CN" w:bidi="ar"/>
        </w:rPr>
        <w:t>6</w:t>
      </w:r>
      <w:r>
        <w:rPr>
          <w:rFonts w:hint="eastAsia" w:ascii="方正小标宋简体" w:hAnsi="方正小标宋简体" w:eastAsia="方正小标宋简体" w:cs="方正小标宋简体"/>
          <w:bCs/>
          <w:color w:val="333333"/>
          <w:spacing w:val="10"/>
          <w:kern w:val="0"/>
          <w:sz w:val="44"/>
          <w:szCs w:val="44"/>
          <w:shd w:val="clear" w:color="auto" w:fill="FFFFFF"/>
          <w:lang w:bidi="ar"/>
        </w:rPr>
        <w:t>年澳门“四校联考”</w:t>
      </w:r>
    </w:p>
    <w:p w14:paraId="2768D0E9">
      <w:pPr>
        <w:widowControl/>
        <w:shd w:val="clear" w:color="auto" w:fill="FFFFFF"/>
        <w:spacing w:line="72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333333"/>
          <w:spacing w:val="10"/>
          <w:kern w:val="0"/>
          <w:sz w:val="44"/>
          <w:szCs w:val="44"/>
          <w:shd w:val="clear" w:color="auto" w:fill="FFFFFF"/>
          <w:lang w:bidi="ar"/>
        </w:rPr>
      </w:pPr>
      <w:r>
        <w:rPr>
          <w:rFonts w:hint="eastAsia" w:ascii="方正小标宋简体" w:hAnsi="方正小标宋简体" w:eastAsia="方正小标宋简体" w:cs="方正小标宋简体"/>
          <w:bCs/>
          <w:color w:val="333333"/>
          <w:spacing w:val="10"/>
          <w:kern w:val="0"/>
          <w:sz w:val="44"/>
          <w:szCs w:val="44"/>
          <w:shd w:val="clear" w:color="auto" w:fill="FFFFFF"/>
          <w:lang w:bidi="ar"/>
        </w:rPr>
        <w:t>招生简章</w:t>
      </w:r>
    </w:p>
    <w:p w14:paraId="29162747">
      <w:pPr>
        <w:pStyle w:val="4"/>
        <w:spacing w:before="100" w:after="100" w:line="5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根据教育部招收澳门“四校联考”学生的有关规定，结合我校实际情况，制订本简章。</w:t>
      </w:r>
    </w:p>
    <w:p w14:paraId="240F502D">
      <w:pPr>
        <w:pStyle w:val="4"/>
        <w:numPr>
          <w:ilvl w:val="0"/>
          <w:numId w:val="1"/>
        </w:numPr>
        <w:spacing w:line="500" w:lineRule="exact"/>
        <w:rPr>
          <w:rFonts w:hint="eastAsia"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学校简介</w:t>
      </w:r>
      <w:bookmarkStart w:id="0" w:name="ssx_12"/>
      <w:bookmarkEnd w:id="0"/>
      <w:bookmarkStart w:id="1" w:name="ssx_4"/>
      <w:bookmarkEnd w:id="1"/>
    </w:p>
    <w:p w14:paraId="5E640063">
      <w:pPr>
        <w:pStyle w:val="4"/>
        <w:spacing w:line="5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华南农业大学是国家“双一流”建设高校、全国重点大学、广东省高水平大学重点建设高校。校园坐落在粤港澳大湾区核心城市广州市，建筑总面积140万平方米，自然景色与人文景观交相辉映，形成了“五湖四海一片林”的优美环境。</w:t>
      </w:r>
    </w:p>
    <w:p w14:paraId="77CD057C">
      <w:pPr>
        <w:pStyle w:val="4"/>
        <w:spacing w:line="50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校办学历史可追溯至始创于1909年的广东全省农事试验场及附设农业讲习所。1952年全国高校院系调整时，由中山大学农学院、岭南大学农学院和广西大学农学院的一部分合并成立华南农学院，隶属农业部主管；毛泽东主席亲笔题写了校名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1979年，经国务院批准列为全国重点高等学校。</w:t>
      </w:r>
      <w:r>
        <w:rPr>
          <w:rFonts w:hint="eastAsia" w:ascii="仿宋_GB2312" w:hAnsi="仿宋_GB2312" w:eastAsia="仿宋_GB2312" w:cs="仿宋_GB2312"/>
          <w:sz w:val="32"/>
          <w:szCs w:val="32"/>
        </w:rPr>
        <w:t>1984年，更名为华南农业大学。2000年国家深化高校管理体制改革，学校由农业部划归广东省主管。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2015年，学校整体进入广东省高水平大学建设行列。2022年，入选国家“双一流”建设高校。</w:t>
      </w:r>
    </w:p>
    <w:p w14:paraId="0F585804">
      <w:pPr>
        <w:pStyle w:val="4"/>
        <w:spacing w:line="5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学校是以农业科学、生命科学为优势，农、工、理、文、史、经、管、法、艺等多学科协调发展的综合性大学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学科门类齐全，有</w:t>
      </w:r>
      <w:r>
        <w:rPr>
          <w:rFonts w:hint="eastAsia" w:ascii="仿宋_GB2312" w:hAnsi="Times New Roman" w:eastAsia="仿宋_GB2312"/>
          <w:sz w:val="32"/>
          <w:szCs w:val="32"/>
        </w:rPr>
        <w:t>9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个本科专业，</w:t>
      </w:r>
      <w:r>
        <w:rPr>
          <w:rFonts w:hint="eastAsia" w:ascii="仿宋_GB2312" w:hAnsi="Times New Roman" w:eastAsia="仿宋_GB2312"/>
          <w:sz w:val="32"/>
          <w:szCs w:val="32"/>
        </w:rPr>
        <w:t>13</w:t>
      </w:r>
      <w:r>
        <w:rPr>
          <w:rFonts w:hint="eastAsia" w:ascii="仿宋_GB2312" w:hAnsi="仿宋_GB2312" w:eastAsia="仿宋_GB2312" w:cs="仿宋_GB2312"/>
          <w:sz w:val="32"/>
          <w:szCs w:val="32"/>
        </w:rPr>
        <w:t>个博士学位授权一级学科，</w:t>
      </w:r>
      <w:r>
        <w:rPr>
          <w:rFonts w:hint="eastAsia" w:ascii="仿宋_GB2312" w:hAnsi="Times New Roman" w:eastAsia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个博士专业学位类别，</w:t>
      </w:r>
      <w:r>
        <w:rPr>
          <w:rFonts w:hint="eastAsia" w:ascii="仿宋_GB2312" w:hAnsi="Times New Roman" w:eastAsia="仿宋_GB2312"/>
          <w:sz w:val="32"/>
          <w:szCs w:val="32"/>
        </w:rPr>
        <w:t>30</w:t>
      </w:r>
      <w:r>
        <w:rPr>
          <w:rFonts w:hint="eastAsia" w:ascii="仿宋_GB2312" w:hAnsi="仿宋_GB2312" w:eastAsia="仿宋_GB2312" w:cs="仿宋_GB2312"/>
          <w:sz w:val="32"/>
          <w:szCs w:val="32"/>
        </w:rPr>
        <w:t>个硕士学位授权一级学科，</w:t>
      </w:r>
      <w:r>
        <w:rPr>
          <w:rFonts w:hint="eastAsia" w:ascii="仿宋_GB2312" w:hAnsi="Times New Roman" w:eastAsia="仿宋_GB2312"/>
          <w:sz w:val="32"/>
          <w:szCs w:val="32"/>
        </w:rPr>
        <w:t>21</w:t>
      </w:r>
      <w:r>
        <w:rPr>
          <w:rFonts w:hint="eastAsia" w:ascii="仿宋_GB2312" w:hAnsi="仿宋_GB2312" w:eastAsia="仿宋_GB2312" w:cs="仿宋_GB2312"/>
          <w:sz w:val="32"/>
          <w:szCs w:val="32"/>
        </w:rPr>
        <w:t>个硕士专业学位类别。作物学入选国家“双一流”建设学科，获批</w:t>
      </w:r>
      <w:r>
        <w:rPr>
          <w:rFonts w:hint="eastAsia" w:ascii="仿宋_GB2312" w:hAnsi="Times New Roman" w:eastAsia="仿宋_GB2312"/>
          <w:sz w:val="32"/>
          <w:szCs w:val="32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</w:rPr>
        <w:t>个广东省高水平大学建设计划重点建设学科。植物学与动物学、农业科学进入</w:t>
      </w:r>
      <w:r>
        <w:rPr>
          <w:rFonts w:hint="eastAsia" w:ascii="仿宋_GB2312" w:hAnsi="Times New Roman" w:eastAsia="仿宋_GB2312"/>
          <w:sz w:val="32"/>
          <w:szCs w:val="32"/>
        </w:rPr>
        <w:t>ESI</w:t>
      </w:r>
      <w:r>
        <w:rPr>
          <w:rFonts w:hint="eastAsia" w:ascii="仿宋_GB2312" w:hAnsi="仿宋_GB2312" w:eastAsia="仿宋_GB2312" w:cs="仿宋_GB2312"/>
          <w:sz w:val="32"/>
          <w:szCs w:val="32"/>
        </w:rPr>
        <w:t>全球排名前</w:t>
      </w:r>
      <w:r>
        <w:rPr>
          <w:rFonts w:hint="eastAsia" w:ascii="仿宋_GB2312" w:hAnsi="Times New Roman" w:eastAsia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‰；植物学与动物学、化学、农业科学、环境科学与生态学、材料科学、工程学、生物学与生物化学、微生物学、分子生物学与遗传学、免疫学、计算机科学、药理学与毒理学、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临床医学、</w:t>
      </w:r>
      <w:r>
        <w:rPr>
          <w:rFonts w:hint="eastAsia" w:ascii="仿宋_GB2312" w:hAnsi="仿宋_GB2312" w:eastAsia="仿宋_GB2312" w:cs="仿宋_GB2312"/>
          <w:sz w:val="32"/>
          <w:szCs w:val="32"/>
        </w:rPr>
        <w:t>社会科学（依被引次数排序）</w:t>
      </w:r>
      <w:r>
        <w:rPr>
          <w:rFonts w:hint="eastAsia" w:ascii="仿宋_GB2312" w:hAnsi="Times New Roman" w:eastAsia="仿宋_GB2312"/>
          <w:sz w:val="32"/>
          <w:szCs w:val="32"/>
        </w:rPr>
        <w:t>1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个学科进入</w:t>
      </w:r>
      <w:r>
        <w:rPr>
          <w:rFonts w:hint="eastAsia" w:ascii="仿宋_GB2312" w:hAnsi="Times New Roman" w:eastAsia="仿宋_GB2312"/>
          <w:sz w:val="32"/>
          <w:szCs w:val="32"/>
        </w:rPr>
        <w:t>ESI</w:t>
      </w:r>
      <w:r>
        <w:rPr>
          <w:rFonts w:hint="eastAsia" w:ascii="仿宋_GB2312" w:hAnsi="仿宋_GB2312" w:eastAsia="仿宋_GB2312" w:cs="仿宋_GB2312"/>
          <w:sz w:val="32"/>
          <w:szCs w:val="32"/>
        </w:rPr>
        <w:t>全球排名前</w:t>
      </w:r>
      <w:r>
        <w:rPr>
          <w:rFonts w:hint="eastAsia" w:ascii="仿宋_GB2312" w:hAnsi="Times New Roman" w:eastAsia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%。农学和兽医学位列软科世界一流学科排名全球第6位、食品科学与工程位列全球第20位。农业与林学位列QS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</w:t>
      </w:r>
      <w:r>
        <w:rPr>
          <w:rFonts w:hint="eastAsia" w:ascii="仿宋_GB2312" w:hAnsi="仿宋_GB2312" w:eastAsia="仿宋_GB2312" w:cs="仿宋_GB2312"/>
          <w:sz w:val="32"/>
          <w:szCs w:val="32"/>
        </w:rPr>
        <w:t>世界大学学科排名全球第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28</w:t>
      </w:r>
      <w:r>
        <w:rPr>
          <w:rFonts w:hint="eastAsia" w:ascii="仿宋_GB2312" w:hAnsi="仿宋_GB2312" w:eastAsia="仿宋_GB2312" w:cs="仿宋_GB2312"/>
          <w:sz w:val="32"/>
          <w:szCs w:val="32"/>
        </w:rPr>
        <w:t>位。</w:t>
      </w:r>
    </w:p>
    <w:p w14:paraId="4B354F91">
      <w:pPr>
        <w:pStyle w:val="4"/>
        <w:spacing w:line="5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华南农业大学毗邻港澳，与港澳台高校及教育机构交流密切。港澳台学生在校期间，学费、住宿费等与内地(祖国大陆)学生一致，并与内地(祖国大陆)学生一起学习生活。学生每年可参加国情考察与社会实践活动，深入了解内地(祖国大陆)政治、经济、历史、文化等。</w:t>
      </w:r>
    </w:p>
    <w:p w14:paraId="573A5DC4">
      <w:pPr>
        <w:pStyle w:val="4"/>
        <w:spacing w:line="50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二、招生计划和专业</w:t>
      </w:r>
    </w:p>
    <w:p w14:paraId="752C1E36">
      <w:pPr>
        <w:pStyle w:val="4"/>
        <w:spacing w:line="5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bookmarkStart w:id="2" w:name="ssx_14"/>
      <w:bookmarkEnd w:id="2"/>
      <w:r>
        <w:rPr>
          <w:rFonts w:hint="eastAsia" w:ascii="仿宋_GB2312" w:hAnsi="Times New Roman" w:eastAsia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Calibri" w:eastAsia="仿宋_GB2312" w:cs="Calibri"/>
          <w:sz w:val="32"/>
          <w:szCs w:val="32"/>
        </w:rPr>
        <w:t> </w:t>
      </w:r>
      <w:r>
        <w:rPr>
          <w:rFonts w:hint="eastAsia" w:ascii="仿宋_GB2312" w:hAnsi="仿宋_GB2312" w:eastAsia="仿宋_GB2312" w:cs="仿宋_GB2312"/>
          <w:sz w:val="32"/>
          <w:szCs w:val="32"/>
        </w:rPr>
        <w:t>招生计划：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Times New Roman" w:eastAsia="仿宋_GB2312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名。</w:t>
      </w:r>
    </w:p>
    <w:p w14:paraId="3890010B">
      <w:pPr>
        <w:pStyle w:val="4"/>
        <w:spacing w:line="5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bookmarkStart w:id="3" w:name="ssx_16"/>
      <w:bookmarkEnd w:id="3"/>
      <w:r>
        <w:rPr>
          <w:rFonts w:hint="eastAsia" w:ascii="仿宋_GB2312" w:hAnsi="Times New Roman" w:eastAsia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Calibri" w:eastAsia="仿宋_GB2312" w:cs="Calibri"/>
          <w:sz w:val="32"/>
          <w:szCs w:val="32"/>
        </w:rPr>
        <w:t> </w:t>
      </w:r>
      <w:r>
        <w:rPr>
          <w:rFonts w:hint="eastAsia" w:ascii="仿宋_GB2312" w:hAnsi="仿宋_GB2312" w:eastAsia="仿宋_GB2312" w:cs="仿宋_GB2312"/>
          <w:sz w:val="32"/>
          <w:szCs w:val="32"/>
        </w:rPr>
        <w:t>招生专业：详见《华南农业大学</w:t>
      </w:r>
      <w:r>
        <w:rPr>
          <w:rFonts w:hint="eastAsia" w:ascii="仿宋_GB2312" w:hAnsi="Times New Roman" w:eastAsia="仿宋_GB2312"/>
          <w:sz w:val="32"/>
          <w:szCs w:val="32"/>
        </w:rPr>
        <w:t>202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年澳门“四校联考”招生专业表》。</w:t>
      </w:r>
    </w:p>
    <w:p w14:paraId="0784CD8E">
      <w:pPr>
        <w:pStyle w:val="4"/>
        <w:spacing w:line="50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bookmarkStart w:id="4" w:name="ssx_18"/>
      <w:bookmarkEnd w:id="4"/>
      <w:r>
        <w:rPr>
          <w:rFonts w:hint="eastAsia" w:ascii="黑体" w:hAnsi="黑体" w:eastAsia="黑体" w:cs="黑体"/>
          <w:sz w:val="32"/>
          <w:szCs w:val="32"/>
        </w:rPr>
        <w:t>三、报考条件</w:t>
      </w:r>
    </w:p>
    <w:p w14:paraId="0CCE69CD">
      <w:pPr>
        <w:pStyle w:val="4"/>
        <w:spacing w:line="5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bookmarkStart w:id="5" w:name="ssx_20"/>
      <w:bookmarkEnd w:id="5"/>
      <w:r>
        <w:rPr>
          <w:rFonts w:hint="eastAsia" w:ascii="仿宋_GB2312" w:hAnsi="Times New Roman" w:eastAsia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Calibri" w:eastAsia="仿宋_GB2312" w:cs="Calibri"/>
          <w:sz w:val="32"/>
          <w:szCs w:val="32"/>
        </w:rPr>
        <w:t> 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具有有效的澳门居民身份证及与之对应的《港澳居民来往内地通行证》或《港澳居民居住证》的澳门高中毕业生。</w:t>
      </w:r>
    </w:p>
    <w:p w14:paraId="65BD8D33">
      <w:pPr>
        <w:pStyle w:val="4"/>
        <w:spacing w:line="5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bookmarkStart w:id="6" w:name="ssx_22"/>
      <w:bookmarkEnd w:id="6"/>
      <w:r>
        <w:rPr>
          <w:rFonts w:hint="eastAsia" w:ascii="仿宋_GB2312" w:hAnsi="Times New Roman" w:eastAsia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Calibri" w:eastAsia="仿宋_GB2312" w:cs="Calibri"/>
          <w:sz w:val="32"/>
          <w:szCs w:val="32"/>
        </w:rPr>
        <w:t> </w:t>
      </w:r>
      <w:r>
        <w:rPr>
          <w:rFonts w:hint="eastAsia" w:ascii="仿宋_GB2312" w:hAnsi="仿宋_GB2312" w:eastAsia="仿宋_GB2312" w:cs="仿宋_GB2312"/>
          <w:sz w:val="32"/>
          <w:szCs w:val="32"/>
        </w:rPr>
        <w:t>参加</w:t>
      </w:r>
      <w:r>
        <w:rPr>
          <w:rFonts w:hint="eastAsia" w:ascii="仿宋_GB2312" w:hAnsi="Times New Roman" w:eastAsia="仿宋_GB2312"/>
          <w:sz w:val="32"/>
          <w:szCs w:val="32"/>
        </w:rPr>
        <w:t>202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年澳门“四校联考”，且中文正卷、英文、数学正卷三科单科成绩均达</w:t>
      </w:r>
      <w:r>
        <w:rPr>
          <w:rFonts w:hint="eastAsia" w:ascii="仿宋_GB2312" w:hAnsi="Times New Roman" w:eastAsia="仿宋_GB2312"/>
          <w:sz w:val="32"/>
          <w:szCs w:val="32"/>
        </w:rPr>
        <w:t>650</w:t>
      </w:r>
      <w:r>
        <w:rPr>
          <w:rFonts w:hint="eastAsia" w:ascii="仿宋_GB2312" w:hAnsi="仿宋_GB2312" w:eastAsia="仿宋_GB2312" w:cs="仿宋_GB2312"/>
          <w:sz w:val="32"/>
          <w:szCs w:val="32"/>
        </w:rPr>
        <w:t>分（含）以上。</w:t>
      </w:r>
    </w:p>
    <w:p w14:paraId="33DED26B">
      <w:pPr>
        <w:pStyle w:val="4"/>
        <w:spacing w:line="50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bookmarkStart w:id="7" w:name="ssx_24"/>
      <w:bookmarkEnd w:id="7"/>
      <w:r>
        <w:rPr>
          <w:rFonts w:hint="eastAsia" w:ascii="黑体" w:hAnsi="黑体" w:eastAsia="黑体" w:cs="黑体"/>
          <w:sz w:val="32"/>
          <w:szCs w:val="32"/>
        </w:rPr>
        <w:t>四、报名时间和方式</w:t>
      </w:r>
    </w:p>
    <w:p w14:paraId="063B1423">
      <w:pPr>
        <w:pStyle w:val="4"/>
        <w:spacing w:line="5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报名时间：</w:t>
      </w:r>
      <w:r>
        <w:rPr>
          <w:rFonts w:hint="eastAsia" w:ascii="仿宋_GB2312" w:hAnsi="Times New Roman" w:eastAsia="仿宋_GB2312"/>
          <w:sz w:val="32"/>
          <w:szCs w:val="32"/>
        </w:rPr>
        <w:t>202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Times New Roman" w:eastAsia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日至</w:t>
      </w:r>
      <w:r>
        <w:rPr>
          <w:rFonts w:hint="eastAsia" w:ascii="仿宋_GB2312" w:hAnsi="Times New Roman" w:eastAsia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Times New Roman" w:eastAsia="仿宋_GB2312"/>
          <w:sz w:val="32"/>
          <w:szCs w:val="32"/>
        </w:rPr>
        <w:t>1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23803E36">
      <w:pPr>
        <w:pStyle w:val="4"/>
        <w:spacing w:line="5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报名方式：请考生在</w:t>
      </w:r>
      <w:r>
        <w:rPr>
          <w:rFonts w:hint="eastAsia" w:ascii="仿宋_GB2312" w:hAnsi="Times New Roman" w:eastAsia="仿宋_GB2312"/>
          <w:sz w:val="32"/>
          <w:szCs w:val="32"/>
        </w:rPr>
        <w:t>202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Times New Roman" w:eastAsia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Times New Roman" w:eastAsia="仿宋_GB2312"/>
          <w:sz w:val="32"/>
          <w:szCs w:val="32"/>
        </w:rPr>
        <w:t>1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日前，将以下材料发送至华南农业大学招生办公室邮箱：</w:t>
      </w:r>
      <w:r>
        <w:fldChar w:fldCharType="begin"/>
      </w:r>
      <w:r>
        <w:instrText xml:space="preserve"> HYPERLINK "mailto:zsb@scau.edu.cn" </w:instrText>
      </w:r>
      <w:r>
        <w:fldChar w:fldCharType="separate"/>
      </w:r>
      <w:r>
        <w:rPr>
          <w:rFonts w:hint="eastAsia" w:ascii="仿宋_GB2312" w:hAnsi="Times New Roman" w:eastAsia="仿宋_GB2312"/>
          <w:sz w:val="32"/>
          <w:szCs w:val="32"/>
        </w:rPr>
        <w:t>zsb</w:t>
      </w:r>
      <w:r>
        <w:rPr>
          <w:rFonts w:hint="eastAsia" w:ascii="仿宋_GB2312" w:hAnsi="仿宋_GB2312" w:eastAsia="仿宋_GB2312" w:cs="仿宋_GB2312"/>
          <w:sz w:val="32"/>
          <w:szCs w:val="32"/>
        </w:rPr>
        <w:t>@</w:t>
      </w:r>
      <w:r>
        <w:rPr>
          <w:rFonts w:hint="eastAsia" w:ascii="仿宋_GB2312" w:hAnsi="Times New Roman" w:eastAsia="仿宋_GB2312"/>
          <w:sz w:val="32"/>
          <w:szCs w:val="32"/>
        </w:rPr>
        <w:t>scau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Times New Roman" w:eastAsia="仿宋_GB2312"/>
          <w:sz w:val="32"/>
          <w:szCs w:val="32"/>
        </w:rPr>
        <w:t>edu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Times New Roman" w:eastAsia="仿宋_GB2312"/>
          <w:sz w:val="32"/>
          <w:szCs w:val="32"/>
        </w:rPr>
        <w:t>cn</w:t>
      </w:r>
      <w:r>
        <w:rPr>
          <w:rFonts w:hint="eastAsia" w:ascii="仿宋_GB2312" w:hAnsi="Times New Roman" w:eastAsia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09DF59A3">
      <w:pPr>
        <w:pStyle w:val="4"/>
        <w:spacing w:line="5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bookmarkStart w:id="8" w:name="ssx_30"/>
      <w:bookmarkEnd w:id="8"/>
      <w:r>
        <w:rPr>
          <w:rFonts w:hint="eastAsia" w:ascii="仿宋_GB2312" w:hAnsi="Times New Roman" w:eastAsia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.华南农业大学</w:t>
      </w:r>
      <w:r>
        <w:rPr>
          <w:rFonts w:hint="eastAsia" w:ascii="仿宋_GB2312" w:hAnsi="Times New Roman" w:eastAsia="仿宋_GB2312"/>
          <w:sz w:val="32"/>
          <w:szCs w:val="32"/>
        </w:rPr>
        <w:t>202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年澳门“四校联考”入学申请表。</w:t>
      </w:r>
    </w:p>
    <w:p w14:paraId="587E88A5">
      <w:pPr>
        <w:pStyle w:val="4"/>
        <w:spacing w:line="5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bookmarkStart w:id="9" w:name="ssx_32"/>
      <w:bookmarkEnd w:id="9"/>
      <w:r>
        <w:rPr>
          <w:rFonts w:hint="eastAsia" w:ascii="仿宋_GB2312" w:hAnsi="Times New Roman" w:eastAsia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Times New Roman" w:eastAsia="仿宋_GB2312"/>
          <w:sz w:val="32"/>
          <w:szCs w:val="32"/>
        </w:rPr>
        <w:t>202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年澳门“四校联考”成绩单。</w:t>
      </w:r>
    </w:p>
    <w:p w14:paraId="094D1842">
      <w:pPr>
        <w:pStyle w:val="4"/>
        <w:spacing w:line="5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bookmarkStart w:id="10" w:name="ssx_34"/>
      <w:bookmarkEnd w:id="10"/>
      <w:r>
        <w:rPr>
          <w:rFonts w:hint="eastAsia" w:ascii="仿宋_GB2312" w:hAnsi="Times New Roman" w:eastAsia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.高中</w:t>
      </w:r>
      <w:r>
        <w:rPr>
          <w:rFonts w:hint="eastAsia" w:ascii="仿宋_GB2312" w:hAnsi="Times New Roman" w:eastAsia="仿宋_GB2312"/>
          <w:sz w:val="32"/>
          <w:szCs w:val="32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</w:rPr>
        <w:t>年学业成绩表。</w:t>
      </w:r>
    </w:p>
    <w:p w14:paraId="6DA8482F">
      <w:pPr>
        <w:pStyle w:val="4"/>
        <w:spacing w:line="5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bookmarkStart w:id="11" w:name="ssx_36"/>
      <w:bookmarkEnd w:id="11"/>
      <w:r>
        <w:rPr>
          <w:rFonts w:hint="eastAsia" w:ascii="仿宋_GB2312" w:hAnsi="Times New Roman" w:eastAsia="仿宋_GB2312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.澳门居民身份证及与之对应的《港澳居民来往内地通行证》或《港澳居民居住证》。</w:t>
      </w:r>
    </w:p>
    <w:p w14:paraId="6BE6135B">
      <w:pPr>
        <w:pStyle w:val="4"/>
        <w:spacing w:line="5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bookmarkStart w:id="12" w:name="ssx_38"/>
      <w:bookmarkEnd w:id="12"/>
      <w:r>
        <w:rPr>
          <w:rFonts w:hint="eastAsia" w:ascii="仿宋_GB2312" w:hAnsi="Times New Roman" w:eastAsia="仿宋_GB2312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.“澳门四高校联合入学考试（语言科及数学科）”声明书。</w:t>
      </w:r>
    </w:p>
    <w:p w14:paraId="748173A1">
      <w:pPr>
        <w:pStyle w:val="4"/>
        <w:spacing w:line="5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bookmarkStart w:id="13" w:name="ssx_40"/>
      <w:bookmarkEnd w:id="13"/>
      <w:r>
        <w:rPr>
          <w:rFonts w:hint="eastAsia" w:ascii="仿宋_GB2312" w:hAnsi="Times New Roman" w:eastAsia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.由澳门或内地县级以上（含县级）医院出具的考生体检报告，体检时间范围为</w:t>
      </w:r>
      <w:r>
        <w:rPr>
          <w:rFonts w:hint="eastAsia" w:ascii="仿宋_GB2312" w:hAnsi="Times New Roman" w:eastAsia="仿宋_GB2312"/>
          <w:sz w:val="32"/>
          <w:szCs w:val="32"/>
        </w:rPr>
        <w:t>202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Times New Roman" w:eastAsia="仿宋_GB2312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Times New Roman" w:eastAsia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日-</w:t>
      </w:r>
      <w:r>
        <w:rPr>
          <w:rFonts w:hint="eastAsia" w:ascii="仿宋_GB2312" w:hAnsi="Times New Roman" w:eastAsia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Times New Roman" w:eastAsia="仿宋_GB2312"/>
          <w:sz w:val="32"/>
          <w:szCs w:val="32"/>
        </w:rPr>
        <w:t>1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日，要求加盖医院公章。可使用《华南农业大学</w:t>
      </w:r>
      <w:r>
        <w:rPr>
          <w:rFonts w:hint="eastAsia" w:ascii="仿宋_GB2312" w:hAnsi="Times New Roman" w:eastAsia="仿宋_GB2312"/>
          <w:sz w:val="32"/>
          <w:szCs w:val="32"/>
        </w:rPr>
        <w:t>202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年澳门“四校联考”学生入学申请体检表》，或提供包含《华南农业大学</w:t>
      </w:r>
      <w:r>
        <w:rPr>
          <w:rFonts w:hint="eastAsia" w:ascii="仿宋_GB2312" w:hAnsi="Times New Roman" w:eastAsia="仿宋_GB2312"/>
          <w:sz w:val="32"/>
          <w:szCs w:val="32"/>
        </w:rPr>
        <w:t>202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年澳门“四校联考”学生入学申请体检表》所有体检项目及内容的医院体检报告，要求发送</w:t>
      </w:r>
      <w:r>
        <w:rPr>
          <w:rFonts w:hint="eastAsia" w:ascii="仿宋_GB2312" w:hAnsi="Times New Roman" w:eastAsia="仿宋_GB2312"/>
          <w:sz w:val="32"/>
          <w:szCs w:val="32"/>
        </w:rPr>
        <w:t>PDF</w:t>
      </w:r>
      <w:r>
        <w:rPr>
          <w:rFonts w:hint="eastAsia" w:ascii="仿宋_GB2312" w:hAnsi="仿宋_GB2312" w:eastAsia="仿宋_GB2312" w:cs="仿宋_GB2312"/>
          <w:sz w:val="32"/>
          <w:szCs w:val="32"/>
        </w:rPr>
        <w:t>格式的扫描版。</w:t>
      </w:r>
    </w:p>
    <w:p w14:paraId="253DE525">
      <w:pPr>
        <w:pStyle w:val="4"/>
        <w:spacing w:line="5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.考生的近期彩色免冠登记电子照片。</w:t>
      </w:r>
    </w:p>
    <w:p w14:paraId="528C8772">
      <w:pPr>
        <w:pStyle w:val="4"/>
        <w:spacing w:line="5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</w:t>
      </w:r>
      <w:r>
        <w:rPr>
          <w:rFonts w:hint="eastAsia" w:ascii="仿宋_GB2312" w:hAnsi="Times New Roman" w:eastAsia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-</w:t>
      </w:r>
      <w:r>
        <w:rPr>
          <w:rFonts w:hint="eastAsia" w:ascii="仿宋_GB2312" w:hAnsi="Times New Roman" w:eastAsia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项材料请按顺序依次扫描存档为</w:t>
      </w:r>
      <w:r>
        <w:rPr>
          <w:rFonts w:hint="eastAsia" w:ascii="仿宋_GB2312" w:hAnsi="Times New Roman" w:eastAsia="仿宋_GB2312"/>
          <w:sz w:val="32"/>
          <w:szCs w:val="32"/>
        </w:rPr>
        <w:t>PDF</w:t>
      </w:r>
      <w:r>
        <w:rPr>
          <w:rFonts w:hint="eastAsia" w:ascii="仿宋_GB2312" w:hAnsi="仿宋_GB2312" w:eastAsia="仿宋_GB2312" w:cs="仿宋_GB2312"/>
          <w:sz w:val="32"/>
          <w:szCs w:val="32"/>
        </w:rPr>
        <w:t>文档，以“澳门-考生姓名”命名；第</w:t>
      </w:r>
      <w:r>
        <w:rPr>
          <w:rFonts w:hint="eastAsia" w:ascii="仿宋_GB2312" w:hAnsi="Times New Roman" w:eastAsia="仿宋_GB2312"/>
          <w:sz w:val="32"/>
          <w:szCs w:val="32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项材料存档为</w:t>
      </w:r>
      <w:r>
        <w:rPr>
          <w:rFonts w:hint="eastAsia" w:ascii="仿宋_GB2312" w:hAnsi="Times New Roman" w:eastAsia="仿宋_GB2312"/>
          <w:sz w:val="32"/>
          <w:szCs w:val="32"/>
        </w:rPr>
        <w:t>JPG</w:t>
      </w:r>
      <w:r>
        <w:rPr>
          <w:rFonts w:hint="eastAsia" w:ascii="仿宋_GB2312" w:hAnsi="仿宋_GB2312" w:eastAsia="仿宋_GB2312" w:cs="仿宋_GB2312"/>
          <w:sz w:val="32"/>
          <w:szCs w:val="32"/>
        </w:rPr>
        <w:t>格式，以“澳门-考生姓名”命名。以上材料放在同一个压缩文件内，压缩文件以“澳门-考生姓名”命名。纸质材料无需邮寄。</w:t>
      </w:r>
    </w:p>
    <w:p w14:paraId="7434F36F">
      <w:pPr>
        <w:pStyle w:val="4"/>
        <w:spacing w:line="5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注意事项：上传报名材料不完整的视作报名无效。</w:t>
      </w:r>
    </w:p>
    <w:p w14:paraId="2E6BCD0E">
      <w:pPr>
        <w:pStyle w:val="4"/>
        <w:spacing w:line="50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bookmarkStart w:id="14" w:name="ssx_46"/>
      <w:bookmarkEnd w:id="14"/>
      <w:r>
        <w:rPr>
          <w:rFonts w:hint="eastAsia" w:ascii="黑体" w:hAnsi="黑体" w:eastAsia="黑体" w:cs="黑体"/>
          <w:sz w:val="32"/>
          <w:szCs w:val="32"/>
        </w:rPr>
        <w:t>五、录取原则</w:t>
      </w:r>
    </w:p>
    <w:p w14:paraId="78A662EE">
      <w:pPr>
        <w:pStyle w:val="4"/>
        <w:spacing w:before="100" w:after="100" w:line="5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bookmarkStart w:id="15" w:name="ssx_48"/>
      <w:bookmarkEnd w:id="15"/>
      <w:r>
        <w:rPr>
          <w:rFonts w:hint="eastAsia" w:ascii="仿宋_GB2312" w:hAnsi="Times New Roman" w:eastAsia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Calibri" w:eastAsia="仿宋_GB2312" w:cs="Calibri"/>
          <w:sz w:val="32"/>
          <w:szCs w:val="32"/>
        </w:rPr>
        <w:t> </w:t>
      </w:r>
      <w:r>
        <w:rPr>
          <w:rFonts w:hint="eastAsia" w:ascii="仿宋_GB2312" w:hAnsi="仿宋_GB2312" w:eastAsia="仿宋_GB2312" w:cs="仿宋_GB2312"/>
          <w:sz w:val="32"/>
          <w:szCs w:val="32"/>
        </w:rPr>
        <w:t>我校将根据考生的澳门“四校联考”成绩和综合情况，结合考生的专业志愿，择优确定录取名单。每个专业原则上录取不超过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人。</w:t>
      </w:r>
    </w:p>
    <w:p w14:paraId="222E444A">
      <w:pPr>
        <w:pStyle w:val="4"/>
        <w:spacing w:line="5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bookmarkStart w:id="16" w:name="ssx_50"/>
      <w:bookmarkEnd w:id="16"/>
      <w:r>
        <w:rPr>
          <w:rFonts w:hint="eastAsia" w:ascii="仿宋_GB2312" w:hAnsi="Times New Roman" w:eastAsia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Calibri" w:eastAsia="仿宋_GB2312" w:cs="Calibri"/>
          <w:sz w:val="32"/>
          <w:szCs w:val="32"/>
        </w:rPr>
        <w:t> </w:t>
      </w:r>
      <w:r>
        <w:rPr>
          <w:rFonts w:hint="eastAsia" w:ascii="仿宋_GB2312" w:hAnsi="仿宋_GB2312" w:eastAsia="仿宋_GB2312" w:cs="仿宋_GB2312"/>
          <w:sz w:val="32"/>
          <w:szCs w:val="32"/>
        </w:rPr>
        <w:t>录取结果将于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6月底</w:t>
      </w:r>
      <w:r>
        <w:rPr>
          <w:rFonts w:hint="eastAsia" w:ascii="仿宋_GB2312" w:hAnsi="仿宋_GB2312" w:eastAsia="仿宋_GB2312" w:cs="仿宋_GB2312"/>
          <w:sz w:val="32"/>
          <w:szCs w:val="32"/>
        </w:rPr>
        <w:t>在华南农业大学本科招生网公示（</w:t>
      </w:r>
      <w:r>
        <w:rPr>
          <w:rFonts w:hint="eastAsia" w:ascii="仿宋_GB2312" w:hAnsi="Times New Roman" w:eastAsia="仿宋_GB2312"/>
          <w:sz w:val="32"/>
          <w:szCs w:val="32"/>
        </w:rPr>
        <w:t>https</w:t>
      </w:r>
      <w:r>
        <w:rPr>
          <w:rFonts w:hint="eastAsia" w:ascii="仿宋_GB2312" w:hAnsi="仿宋_GB2312" w:eastAsia="仿宋_GB2312" w:cs="仿宋_GB2312"/>
          <w:sz w:val="32"/>
          <w:szCs w:val="32"/>
        </w:rPr>
        <w:t>://</w:t>
      </w:r>
      <w:r>
        <w:rPr>
          <w:rFonts w:hint="eastAsia" w:ascii="仿宋_GB2312" w:hAnsi="Times New Roman" w:eastAsia="仿宋_GB2312"/>
          <w:sz w:val="32"/>
          <w:szCs w:val="32"/>
        </w:rPr>
        <w:t>zsb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Times New Roman" w:eastAsia="仿宋_GB2312"/>
          <w:sz w:val="32"/>
          <w:szCs w:val="32"/>
        </w:rPr>
        <w:t>scau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Times New Roman" w:eastAsia="仿宋_GB2312"/>
          <w:sz w:val="32"/>
          <w:szCs w:val="32"/>
        </w:rPr>
        <w:t>edu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Times New Roman" w:eastAsia="仿宋_GB2312"/>
          <w:sz w:val="32"/>
          <w:szCs w:val="32"/>
        </w:rPr>
        <w:t>cn</w:t>
      </w:r>
      <w:r>
        <w:rPr>
          <w:rFonts w:hint="eastAsia" w:ascii="仿宋_GB2312" w:hAnsi="仿宋_GB2312" w:eastAsia="仿宋_GB2312" w:cs="仿宋_GB2312"/>
          <w:sz w:val="32"/>
          <w:szCs w:val="32"/>
        </w:rPr>
        <w:t>/）。</w:t>
      </w:r>
    </w:p>
    <w:p w14:paraId="63FEA039">
      <w:pPr>
        <w:pStyle w:val="4"/>
        <w:spacing w:line="50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bookmarkStart w:id="17" w:name="ssx_52"/>
      <w:bookmarkEnd w:id="17"/>
      <w:r>
        <w:rPr>
          <w:rFonts w:hint="eastAsia" w:ascii="黑体" w:hAnsi="黑体" w:eastAsia="黑体" w:cs="黑体"/>
          <w:sz w:val="32"/>
          <w:szCs w:val="32"/>
        </w:rPr>
        <w:t>六、学费及住宿费</w:t>
      </w:r>
    </w:p>
    <w:p w14:paraId="3A55A6A4">
      <w:pPr>
        <w:pStyle w:val="4"/>
        <w:spacing w:line="5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bookmarkStart w:id="18" w:name="ssx_54"/>
      <w:bookmarkEnd w:id="18"/>
      <w:r>
        <w:rPr>
          <w:rFonts w:hint="eastAsia" w:ascii="仿宋_GB2312" w:hAnsi="Times New Roman" w:eastAsia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. 学费：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文史财经管理</w:t>
      </w:r>
      <w:r>
        <w:rPr>
          <w:rFonts w:hint="eastAsia" w:ascii="仿宋_GB2312" w:hAnsi="仿宋_GB2312" w:eastAsia="仿宋_GB2312" w:cs="仿宋_GB2312"/>
          <w:sz w:val="32"/>
          <w:szCs w:val="32"/>
        </w:rPr>
        <w:t>类专业</w:t>
      </w:r>
      <w:r>
        <w:rPr>
          <w:rFonts w:hint="eastAsia" w:ascii="仿宋_GB2312" w:hAnsi="Times New Roman" w:eastAsia="仿宋_GB2312"/>
          <w:sz w:val="32"/>
          <w:szCs w:val="32"/>
        </w:rPr>
        <w:t>606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元/学年，理工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外语</w:t>
      </w:r>
      <w:r>
        <w:rPr>
          <w:rFonts w:hint="eastAsia" w:ascii="仿宋_GB2312" w:hAnsi="仿宋_GB2312" w:eastAsia="仿宋_GB2312" w:cs="仿宋_GB2312"/>
          <w:sz w:val="32"/>
          <w:szCs w:val="32"/>
        </w:rPr>
        <w:t>类专业</w:t>
      </w:r>
      <w:r>
        <w:rPr>
          <w:rFonts w:hint="eastAsia" w:ascii="仿宋_GB2312" w:hAnsi="Times New Roman" w:eastAsia="仿宋_GB2312"/>
          <w:sz w:val="32"/>
          <w:szCs w:val="32"/>
        </w:rPr>
        <w:t>685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3</w:t>
      </w:r>
      <w:bookmarkStart w:id="25" w:name="_GoBack"/>
      <w:bookmarkEnd w:id="25"/>
      <w:r>
        <w:rPr>
          <w:rFonts w:hint="eastAsia" w:ascii="仿宋_GB2312" w:hAnsi="仿宋_GB2312" w:eastAsia="仿宋_GB2312" w:cs="仿宋_GB2312"/>
          <w:sz w:val="32"/>
          <w:szCs w:val="32"/>
        </w:rPr>
        <w:t>元/学年，软件工程专业</w:t>
      </w:r>
      <w:r>
        <w:rPr>
          <w:rFonts w:hint="eastAsia" w:ascii="仿宋_GB2312" w:hAnsi="Times New Roman" w:eastAsia="仿宋_GB2312"/>
          <w:sz w:val="32"/>
          <w:szCs w:val="32"/>
        </w:rPr>
        <w:t>8000</w:t>
      </w:r>
      <w:r>
        <w:rPr>
          <w:rFonts w:hint="eastAsia" w:ascii="仿宋_GB2312" w:hAnsi="仿宋_GB2312" w:eastAsia="仿宋_GB2312" w:cs="仿宋_GB2312"/>
          <w:sz w:val="32"/>
          <w:szCs w:val="32"/>
        </w:rPr>
        <w:t>元/学年，农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科类</w:t>
      </w:r>
      <w:r>
        <w:rPr>
          <w:rFonts w:hint="eastAsia" w:ascii="仿宋_GB2312" w:hAnsi="仿宋_GB2312" w:eastAsia="仿宋_GB2312" w:cs="仿宋_GB2312"/>
          <w:sz w:val="32"/>
          <w:szCs w:val="32"/>
        </w:rPr>
        <w:t>专业</w:t>
      </w:r>
      <w:r>
        <w:rPr>
          <w:rFonts w:hint="eastAsia" w:ascii="仿宋_GB2312" w:hAnsi="Times New Roman" w:eastAsia="仿宋_GB2312"/>
          <w:sz w:val="32"/>
          <w:szCs w:val="32"/>
        </w:rPr>
        <w:t>5480</w:t>
      </w:r>
      <w:r>
        <w:rPr>
          <w:rFonts w:hint="eastAsia" w:ascii="仿宋_GB2312" w:hAnsi="仿宋_GB2312" w:eastAsia="仿宋_GB2312" w:cs="仿宋_GB2312"/>
          <w:sz w:val="32"/>
          <w:szCs w:val="32"/>
        </w:rPr>
        <w:t>元/学年。</w:t>
      </w:r>
    </w:p>
    <w:p w14:paraId="02E6A5B1">
      <w:pPr>
        <w:pStyle w:val="4"/>
        <w:spacing w:line="5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</w:t>
      </w:r>
      <w:r>
        <w:rPr>
          <w:rFonts w:hint="eastAsia" w:ascii="仿宋_GB2312" w:hAnsi="Times New Roman" w:eastAsia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. 住宿费：约</w:t>
      </w:r>
      <w:r>
        <w:rPr>
          <w:rFonts w:hint="eastAsia" w:ascii="仿宋_GB2312" w:hAnsi="Times New Roman" w:eastAsia="仿宋_GB2312"/>
          <w:sz w:val="32"/>
          <w:szCs w:val="32"/>
        </w:rPr>
        <w:t>700</w:t>
      </w:r>
      <w:r>
        <w:rPr>
          <w:rFonts w:hint="eastAsia" w:ascii="仿宋_GB2312" w:hAnsi="仿宋_GB2312" w:eastAsia="仿宋_GB2312" w:cs="仿宋_GB2312"/>
          <w:sz w:val="32"/>
          <w:szCs w:val="32"/>
        </w:rPr>
        <w:t>元—</w:t>
      </w:r>
      <w:r>
        <w:rPr>
          <w:rFonts w:hint="eastAsia" w:ascii="仿宋_GB2312" w:hAnsi="Times New Roman" w:eastAsia="仿宋_GB2312"/>
          <w:sz w:val="32"/>
          <w:szCs w:val="32"/>
        </w:rPr>
        <w:t>1500</w:t>
      </w:r>
      <w:r>
        <w:rPr>
          <w:rFonts w:hint="eastAsia" w:ascii="仿宋_GB2312" w:hAnsi="仿宋_GB2312" w:eastAsia="仿宋_GB2312" w:cs="仿宋_GB2312"/>
          <w:sz w:val="32"/>
          <w:szCs w:val="32"/>
        </w:rPr>
        <w:t>元/学年。</w:t>
      </w:r>
    </w:p>
    <w:p w14:paraId="656F2F0C">
      <w:pPr>
        <w:pStyle w:val="4"/>
        <w:spacing w:line="5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收费标准与内地学生一致，学校的学费和住宿费按省市有关部门核定的标准执行。学费及住宿费如有变动，以学校最新公布为准。</w:t>
      </w:r>
    </w:p>
    <w:p w14:paraId="756CBE98">
      <w:pPr>
        <w:pStyle w:val="4"/>
        <w:spacing w:line="50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bookmarkStart w:id="19" w:name="ssx_60"/>
      <w:bookmarkEnd w:id="19"/>
      <w:r>
        <w:rPr>
          <w:rFonts w:hint="eastAsia" w:ascii="黑体" w:hAnsi="黑体" w:eastAsia="黑体" w:cs="黑体"/>
          <w:sz w:val="32"/>
          <w:szCs w:val="32"/>
        </w:rPr>
        <w:t>七、奖学金</w:t>
      </w:r>
    </w:p>
    <w:p w14:paraId="67D8B8E3">
      <w:pPr>
        <w:pStyle w:val="4"/>
        <w:spacing w:line="5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港澳学生奖学金参照学校内地学生奖学金标准执行。</w:t>
      </w:r>
    </w:p>
    <w:p w14:paraId="0039DD6C">
      <w:pPr>
        <w:pStyle w:val="4"/>
        <w:spacing w:line="50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八、其他说明</w:t>
      </w:r>
    </w:p>
    <w:p w14:paraId="46F01C80">
      <w:pPr>
        <w:pStyle w:val="4"/>
        <w:spacing w:line="5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bookmarkStart w:id="20" w:name="ssx_62"/>
      <w:bookmarkEnd w:id="20"/>
      <w:r>
        <w:rPr>
          <w:rFonts w:hint="eastAsia" w:ascii="仿宋_GB2312" w:hAnsi="Times New Roman" w:eastAsia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. 新生持录取通知书报到，入学报到时间及相关要求以录取通知书及入学指南上规定的为准。</w:t>
      </w:r>
    </w:p>
    <w:p w14:paraId="0482310C">
      <w:pPr>
        <w:pStyle w:val="4"/>
        <w:spacing w:line="5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bookmarkStart w:id="21" w:name="ssx_64"/>
      <w:bookmarkEnd w:id="21"/>
      <w:r>
        <w:rPr>
          <w:rFonts w:hint="eastAsia" w:ascii="仿宋_GB2312" w:hAnsi="Times New Roman" w:eastAsia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. 新生入学后，按照国家和学校有关规定进行入学资格复查。复查不合格的学生，依据招生工作有关规定处理。</w:t>
      </w:r>
    </w:p>
    <w:p w14:paraId="11A0535B">
      <w:pPr>
        <w:pStyle w:val="4"/>
        <w:spacing w:line="5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bookmarkStart w:id="22" w:name="ssx_66"/>
      <w:bookmarkEnd w:id="22"/>
      <w:r>
        <w:rPr>
          <w:rFonts w:hint="eastAsia" w:ascii="仿宋_GB2312" w:hAnsi="Times New Roman" w:eastAsia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. 新生入学后需接受体检。体检受限专业，按照教育部、卫生部、中国残疾人联合会颁布的《普通高等学校招生体检工作指导意见》执行。不符合要求的，取消其入学资格；符合入学要求但不符合受限专业者，可申请转其他不受限专业。</w:t>
      </w:r>
    </w:p>
    <w:p w14:paraId="4EAA9429">
      <w:pPr>
        <w:pStyle w:val="4"/>
        <w:spacing w:line="5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bookmarkStart w:id="23" w:name="ssx_68"/>
      <w:bookmarkEnd w:id="23"/>
      <w:r>
        <w:rPr>
          <w:rFonts w:hint="eastAsia" w:ascii="仿宋_GB2312" w:hAnsi="Times New Roman" w:eastAsia="仿宋_GB2312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. 凡具有华南农业大学正式学籍的学生，在规定修业期限内，完成规定的课程修读学分，达到毕业要求者，颁发华南农业大学毕业证书；符合学位授予条件者，授予华南农业大学学位并颁发学位证书。</w:t>
      </w:r>
    </w:p>
    <w:p w14:paraId="0102DB64">
      <w:pPr>
        <w:pStyle w:val="4"/>
        <w:spacing w:line="50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bookmarkStart w:id="24" w:name="ssx_70"/>
      <w:bookmarkEnd w:id="24"/>
      <w:r>
        <w:rPr>
          <w:rFonts w:hint="eastAsia" w:ascii="黑体" w:hAnsi="黑体" w:eastAsia="黑体" w:cs="黑体"/>
          <w:sz w:val="32"/>
          <w:szCs w:val="32"/>
        </w:rPr>
        <w:t>九、联系方式</w:t>
      </w:r>
    </w:p>
    <w:p w14:paraId="65A72D6B">
      <w:pPr>
        <w:pStyle w:val="4"/>
        <w:spacing w:line="5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华南农业大学本科生院（招生办公室）</w:t>
      </w:r>
    </w:p>
    <w:p w14:paraId="59865483">
      <w:pPr>
        <w:pStyle w:val="4"/>
        <w:spacing w:line="500" w:lineRule="exact"/>
        <w:ind w:firstLine="585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地址：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广东省广州市天河区五山路</w:t>
      </w:r>
      <w:r>
        <w:rPr>
          <w:rFonts w:hint="eastAsia" w:ascii="仿宋_GB2312" w:hAnsi="Times New Roman" w:eastAsia="仿宋_GB2312"/>
          <w:spacing w:val="-4"/>
          <w:sz w:val="32"/>
          <w:szCs w:val="32"/>
        </w:rPr>
        <w:t>483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号华南农业大学行政楼</w:t>
      </w:r>
      <w:r>
        <w:rPr>
          <w:rFonts w:hint="eastAsia" w:ascii="仿宋_GB2312" w:hAnsi="Times New Roman" w:eastAsia="仿宋_GB2312"/>
          <w:spacing w:val="-4"/>
          <w:sz w:val="32"/>
          <w:szCs w:val="32"/>
        </w:rPr>
        <w:t>223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室</w:t>
      </w:r>
    </w:p>
    <w:p w14:paraId="11650773">
      <w:pPr>
        <w:pStyle w:val="4"/>
        <w:spacing w:line="500" w:lineRule="exact"/>
        <w:ind w:firstLine="585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邮政编码：</w:t>
      </w:r>
      <w:r>
        <w:rPr>
          <w:rFonts w:hint="eastAsia" w:ascii="仿宋_GB2312" w:hAnsi="Times New Roman" w:eastAsia="仿宋_GB2312"/>
          <w:sz w:val="32"/>
          <w:szCs w:val="32"/>
        </w:rPr>
        <w:t>510642</w:t>
      </w:r>
    </w:p>
    <w:p w14:paraId="6BDB82CB">
      <w:pPr>
        <w:pStyle w:val="4"/>
        <w:spacing w:line="5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电话：(</w:t>
      </w:r>
      <w:r>
        <w:rPr>
          <w:rFonts w:hint="eastAsia" w:ascii="仿宋_GB2312" w:hAnsi="Times New Roman" w:eastAsia="仿宋_GB2312"/>
          <w:sz w:val="32"/>
          <w:szCs w:val="32"/>
        </w:rPr>
        <w:t>8620</w:t>
      </w:r>
      <w:r>
        <w:rPr>
          <w:rFonts w:hint="eastAsia" w:ascii="仿宋_GB2312" w:hAnsi="仿宋_GB2312" w:eastAsia="仿宋_GB2312" w:cs="仿宋_GB2312"/>
          <w:sz w:val="32"/>
          <w:szCs w:val="32"/>
        </w:rPr>
        <w:t>)</w:t>
      </w:r>
      <w:r>
        <w:rPr>
          <w:rFonts w:hint="eastAsia" w:ascii="仿宋_GB2312" w:hAnsi="Times New Roman" w:eastAsia="仿宋_GB2312"/>
          <w:sz w:val="32"/>
          <w:szCs w:val="32"/>
        </w:rPr>
        <w:t>85283652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传真：(</w:t>
      </w:r>
      <w:r>
        <w:rPr>
          <w:rFonts w:hint="eastAsia" w:ascii="仿宋_GB2312" w:hAnsi="Times New Roman" w:eastAsia="仿宋_GB2312"/>
          <w:sz w:val="32"/>
          <w:szCs w:val="32"/>
        </w:rPr>
        <w:t>8620</w:t>
      </w:r>
      <w:r>
        <w:rPr>
          <w:rFonts w:hint="eastAsia" w:ascii="仿宋_GB2312" w:hAnsi="仿宋_GB2312" w:eastAsia="仿宋_GB2312" w:cs="仿宋_GB2312"/>
          <w:sz w:val="32"/>
          <w:szCs w:val="32"/>
        </w:rPr>
        <w:t>)</w:t>
      </w:r>
      <w:r>
        <w:rPr>
          <w:rFonts w:hint="eastAsia" w:ascii="仿宋_GB2312" w:hAnsi="Times New Roman" w:eastAsia="仿宋_GB2312"/>
          <w:sz w:val="32"/>
          <w:szCs w:val="32"/>
        </w:rPr>
        <w:t>85283652</w:t>
      </w:r>
    </w:p>
    <w:p w14:paraId="5F35928A">
      <w:pPr>
        <w:pStyle w:val="4"/>
        <w:spacing w:line="5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学校主页：</w:t>
      </w:r>
      <w:r>
        <w:rPr>
          <w:rFonts w:hint="eastAsia" w:ascii="仿宋_GB2312" w:hAnsi="Times New Roman" w:eastAsia="仿宋_GB2312"/>
          <w:sz w:val="32"/>
          <w:szCs w:val="32"/>
        </w:rPr>
        <w:t>https</w:t>
      </w:r>
      <w:r>
        <w:rPr>
          <w:rFonts w:hint="eastAsia" w:ascii="仿宋_GB2312" w:hAnsi="仿宋_GB2312" w:eastAsia="仿宋_GB2312" w:cs="仿宋_GB2312"/>
          <w:sz w:val="32"/>
          <w:szCs w:val="32"/>
        </w:rPr>
        <w:t>://</w:t>
      </w:r>
      <w:r>
        <w:rPr>
          <w:rFonts w:hint="eastAsia" w:ascii="仿宋_GB2312" w:hAnsi="Times New Roman" w:eastAsia="仿宋_GB2312"/>
          <w:sz w:val="32"/>
          <w:szCs w:val="32"/>
        </w:rPr>
        <w:t>www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Times New Roman" w:eastAsia="仿宋_GB2312"/>
          <w:sz w:val="32"/>
          <w:szCs w:val="32"/>
        </w:rPr>
        <w:t>scau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Times New Roman" w:eastAsia="仿宋_GB2312"/>
          <w:sz w:val="32"/>
          <w:szCs w:val="32"/>
        </w:rPr>
        <w:t>edu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Times New Roman" w:eastAsia="仿宋_GB2312"/>
          <w:sz w:val="32"/>
          <w:szCs w:val="32"/>
        </w:rPr>
        <w:t>cn</w:t>
      </w:r>
      <w:r>
        <w:rPr>
          <w:rFonts w:hint="eastAsia" w:ascii="仿宋_GB2312" w:hAnsi="仿宋_GB2312" w:eastAsia="仿宋_GB2312" w:cs="仿宋_GB2312"/>
          <w:sz w:val="32"/>
          <w:szCs w:val="32"/>
        </w:rPr>
        <w:t>/</w:t>
      </w:r>
    </w:p>
    <w:p w14:paraId="2543AE72">
      <w:pPr>
        <w:pStyle w:val="4"/>
        <w:spacing w:line="5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本科招生网：</w:t>
      </w:r>
      <w:r>
        <w:rPr>
          <w:rFonts w:hint="eastAsia" w:ascii="仿宋_GB2312" w:hAnsi="Times New Roman" w:eastAsia="仿宋_GB2312"/>
          <w:sz w:val="32"/>
          <w:szCs w:val="32"/>
        </w:rPr>
        <w:t>https</w:t>
      </w:r>
      <w:r>
        <w:rPr>
          <w:rFonts w:hint="eastAsia" w:ascii="仿宋_GB2312" w:hAnsi="仿宋_GB2312" w:eastAsia="仿宋_GB2312" w:cs="仿宋_GB2312"/>
          <w:sz w:val="32"/>
          <w:szCs w:val="32"/>
        </w:rPr>
        <w:t>://</w:t>
      </w:r>
      <w:r>
        <w:rPr>
          <w:rFonts w:hint="eastAsia" w:ascii="仿宋_GB2312" w:hAnsi="Times New Roman" w:eastAsia="仿宋_GB2312"/>
          <w:sz w:val="32"/>
          <w:szCs w:val="32"/>
        </w:rPr>
        <w:t>zsb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Times New Roman" w:eastAsia="仿宋_GB2312"/>
          <w:sz w:val="32"/>
          <w:szCs w:val="32"/>
        </w:rPr>
        <w:t>scau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Times New Roman" w:eastAsia="仿宋_GB2312"/>
          <w:sz w:val="32"/>
          <w:szCs w:val="32"/>
        </w:rPr>
        <w:t>edu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Times New Roman" w:eastAsia="仿宋_GB2312"/>
          <w:sz w:val="32"/>
          <w:szCs w:val="32"/>
        </w:rPr>
        <w:t>cn</w:t>
      </w:r>
      <w:r>
        <w:rPr>
          <w:rFonts w:hint="eastAsia" w:ascii="仿宋_GB2312" w:hAnsi="仿宋_GB2312" w:eastAsia="仿宋_GB2312" w:cs="仿宋_GB2312"/>
          <w:sz w:val="32"/>
          <w:szCs w:val="32"/>
        </w:rPr>
        <w:t>/</w:t>
      </w:r>
    </w:p>
    <w:p w14:paraId="30881DFC">
      <w:pPr>
        <w:pStyle w:val="4"/>
        <w:spacing w:line="5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华南农业大学微信公众号：</w:t>
      </w:r>
      <w:r>
        <w:rPr>
          <w:rFonts w:hint="eastAsia" w:ascii="仿宋_GB2312" w:hAnsi="Times New Roman" w:eastAsia="仿宋_GB2312"/>
          <w:sz w:val="32"/>
          <w:szCs w:val="32"/>
        </w:rPr>
        <w:t>scauxmt</w:t>
      </w:r>
    </w:p>
    <w:p w14:paraId="70F32CD4">
      <w:pPr>
        <w:pStyle w:val="4"/>
        <w:widowControl/>
        <w:spacing w:beforeAutospacing="0" w:afterAutospacing="0" w:line="500" w:lineRule="exact"/>
        <w:jc w:val="center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华南农业大学</w:t>
      </w:r>
      <w:r>
        <w:rPr>
          <w:rFonts w:hint="eastAsia" w:ascii="仿宋_GB2312" w:hAnsi="Times New Roman" w:eastAsia="仿宋_GB2312"/>
          <w:b/>
          <w:sz w:val="32"/>
          <w:szCs w:val="32"/>
        </w:rPr>
        <w:t>202</w:t>
      </w:r>
      <w:r>
        <w:rPr>
          <w:rFonts w:hint="eastAsia" w:ascii="仿宋_GB2312" w:hAnsi="Times New Roman" w:eastAsia="仿宋_GB2312"/>
          <w:b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年澳门“四校联考”招生专业表</w:t>
      </w:r>
    </w:p>
    <w:tbl>
      <w:tblPr>
        <w:tblStyle w:val="5"/>
        <w:tblW w:w="93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05"/>
        <w:gridCol w:w="1684"/>
        <w:gridCol w:w="2321"/>
        <w:gridCol w:w="1080"/>
        <w:gridCol w:w="3261"/>
      </w:tblGrid>
      <w:tr w14:paraId="7129C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005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0BAA84">
            <w:pPr>
              <w:pStyle w:val="4"/>
              <w:widowControl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序号</w:t>
            </w:r>
          </w:p>
        </w:tc>
        <w:tc>
          <w:tcPr>
            <w:tcW w:w="168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6995A34">
            <w:pPr>
              <w:pStyle w:val="4"/>
              <w:widowControl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专业代码</w:t>
            </w:r>
          </w:p>
        </w:tc>
        <w:tc>
          <w:tcPr>
            <w:tcW w:w="2321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42644F8">
            <w:pPr>
              <w:pStyle w:val="4"/>
              <w:widowControl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专业名称</w:t>
            </w:r>
          </w:p>
        </w:tc>
        <w:tc>
          <w:tcPr>
            <w:tcW w:w="108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30D442">
            <w:pPr>
              <w:pStyle w:val="4"/>
              <w:widowControl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学制</w:t>
            </w:r>
          </w:p>
        </w:tc>
        <w:tc>
          <w:tcPr>
            <w:tcW w:w="3261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B4BAC9D">
            <w:pPr>
              <w:pStyle w:val="4"/>
              <w:widowControl/>
              <w:spacing w:line="500" w:lineRule="exac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考试科目及成绩要求</w:t>
            </w:r>
          </w:p>
        </w:tc>
      </w:tr>
      <w:tr w14:paraId="1C641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" w:hRule="atLeast"/>
          <w:jc w:val="center"/>
        </w:trPr>
        <w:tc>
          <w:tcPr>
            <w:tcW w:w="1005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A7EF7E9">
            <w:pPr>
              <w:pStyle w:val="4"/>
              <w:widowControl/>
              <w:spacing w:line="500" w:lineRule="exact"/>
              <w:jc w:val="center"/>
              <w:rPr>
                <w:rFonts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1</w:t>
            </w:r>
          </w:p>
        </w:tc>
        <w:tc>
          <w:tcPr>
            <w:tcW w:w="168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F9A373">
            <w:pPr>
              <w:pStyle w:val="4"/>
              <w:widowControl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090401</w:t>
            </w:r>
          </w:p>
        </w:tc>
        <w:tc>
          <w:tcPr>
            <w:tcW w:w="2321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B004BA5">
            <w:pPr>
              <w:pStyle w:val="4"/>
              <w:widowControl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动物医学</w:t>
            </w:r>
          </w:p>
        </w:tc>
        <w:tc>
          <w:tcPr>
            <w:tcW w:w="108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562BCC1">
            <w:pPr>
              <w:pStyle w:val="4"/>
              <w:widowControl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五年</w:t>
            </w:r>
          </w:p>
        </w:tc>
        <w:tc>
          <w:tcPr>
            <w:tcW w:w="3261" w:type="dxa"/>
            <w:vMerge w:val="restar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7EFFA5B">
            <w:pPr>
              <w:pStyle w:val="4"/>
              <w:widowControl/>
              <w:spacing w:line="500" w:lineRule="exac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最低录取标准为澳门“四校联考”的中文正卷、英文、数学正卷三科单科成绩均达</w:t>
            </w: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650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分（含）以上</w:t>
            </w:r>
          </w:p>
        </w:tc>
      </w:tr>
      <w:tr w14:paraId="47E22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" w:hRule="atLeast"/>
          <w:jc w:val="center"/>
        </w:trPr>
        <w:tc>
          <w:tcPr>
            <w:tcW w:w="1005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FB7DE5">
            <w:pPr>
              <w:pStyle w:val="4"/>
              <w:widowControl/>
              <w:spacing w:line="500" w:lineRule="exact"/>
              <w:jc w:val="center"/>
              <w:rPr>
                <w:rFonts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2</w:t>
            </w:r>
          </w:p>
        </w:tc>
        <w:tc>
          <w:tcPr>
            <w:tcW w:w="168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919857F">
            <w:pPr>
              <w:pStyle w:val="4"/>
              <w:widowControl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082803</w:t>
            </w:r>
          </w:p>
        </w:tc>
        <w:tc>
          <w:tcPr>
            <w:tcW w:w="2321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2321AB">
            <w:pPr>
              <w:pStyle w:val="4"/>
              <w:widowControl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风景园林</w:t>
            </w:r>
          </w:p>
        </w:tc>
        <w:tc>
          <w:tcPr>
            <w:tcW w:w="108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5CF705F">
            <w:pPr>
              <w:pStyle w:val="4"/>
              <w:widowControl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四年</w:t>
            </w:r>
          </w:p>
        </w:tc>
        <w:tc>
          <w:tcPr>
            <w:tcW w:w="3261" w:type="dxa"/>
            <w:vMerge w:val="continue"/>
            <w:vAlign w:val="center"/>
          </w:tcPr>
          <w:p w14:paraId="5216986B">
            <w:pPr>
              <w:pStyle w:val="4"/>
              <w:widowControl/>
              <w:spacing w:line="500" w:lineRule="exac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777B2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" w:hRule="atLeast"/>
          <w:jc w:val="center"/>
        </w:trPr>
        <w:tc>
          <w:tcPr>
            <w:tcW w:w="1005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AB12C90">
            <w:pPr>
              <w:pStyle w:val="4"/>
              <w:widowControl/>
              <w:spacing w:line="500" w:lineRule="exact"/>
              <w:jc w:val="center"/>
              <w:rPr>
                <w:rFonts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3</w:t>
            </w:r>
          </w:p>
        </w:tc>
        <w:tc>
          <w:tcPr>
            <w:tcW w:w="168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A075F11">
            <w:pPr>
              <w:pStyle w:val="4"/>
              <w:widowControl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071001</w:t>
            </w:r>
          </w:p>
        </w:tc>
        <w:tc>
          <w:tcPr>
            <w:tcW w:w="2321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7D6BEFB">
            <w:pPr>
              <w:pStyle w:val="4"/>
              <w:widowControl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生物科学</w:t>
            </w:r>
          </w:p>
        </w:tc>
        <w:tc>
          <w:tcPr>
            <w:tcW w:w="108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46978AD">
            <w:pPr>
              <w:pStyle w:val="4"/>
              <w:widowControl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四年</w:t>
            </w:r>
          </w:p>
        </w:tc>
        <w:tc>
          <w:tcPr>
            <w:tcW w:w="3261" w:type="dxa"/>
            <w:vMerge w:val="continue"/>
            <w:vAlign w:val="center"/>
          </w:tcPr>
          <w:p w14:paraId="3D47685A">
            <w:pPr>
              <w:pStyle w:val="4"/>
              <w:widowControl/>
              <w:spacing w:line="500" w:lineRule="exac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4F2B1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" w:hRule="atLeast"/>
          <w:jc w:val="center"/>
        </w:trPr>
        <w:tc>
          <w:tcPr>
            <w:tcW w:w="1005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A9130F5">
            <w:pPr>
              <w:pStyle w:val="4"/>
              <w:widowControl/>
              <w:spacing w:line="500" w:lineRule="exact"/>
              <w:jc w:val="center"/>
              <w:rPr>
                <w:rFonts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4</w:t>
            </w:r>
          </w:p>
        </w:tc>
        <w:tc>
          <w:tcPr>
            <w:tcW w:w="168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F0FFF58">
            <w:pPr>
              <w:pStyle w:val="4"/>
              <w:widowControl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030302</w:t>
            </w:r>
          </w:p>
        </w:tc>
        <w:tc>
          <w:tcPr>
            <w:tcW w:w="2321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3C3B2BA">
            <w:pPr>
              <w:pStyle w:val="4"/>
              <w:widowControl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社会工作</w:t>
            </w:r>
          </w:p>
        </w:tc>
        <w:tc>
          <w:tcPr>
            <w:tcW w:w="108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5AC68A7">
            <w:pPr>
              <w:pStyle w:val="4"/>
              <w:widowControl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四年</w:t>
            </w:r>
          </w:p>
        </w:tc>
        <w:tc>
          <w:tcPr>
            <w:tcW w:w="3261" w:type="dxa"/>
            <w:vMerge w:val="continue"/>
            <w:vAlign w:val="center"/>
          </w:tcPr>
          <w:p w14:paraId="2237BBC4">
            <w:pPr>
              <w:pStyle w:val="4"/>
              <w:widowControl/>
              <w:spacing w:line="500" w:lineRule="exac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 w14:paraId="429E22D8">
      <w:pPr>
        <w:pStyle w:val="4"/>
        <w:widowControl/>
        <w:spacing w:line="5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说明：学生需参加新生入学体检。体检受限专业，按照教育部、卫生部、中国残疾人联合会颁布的《普通高等学校招生体检工作指导意见》执行。动物医学、风景园林、生物科学专业不招收色盲色弱学生，请考生留意。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6003AAD"/>
    <w:multiLevelType w:val="multilevel"/>
    <w:tmpl w:val="46003AAD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520" w:hanging="440"/>
      </w:pPr>
    </w:lvl>
    <w:lvl w:ilvl="2" w:tentative="0">
      <w:start w:val="1"/>
      <w:numFmt w:val="lowerRoman"/>
      <w:lvlText w:val="%3."/>
      <w:lvlJc w:val="right"/>
      <w:pPr>
        <w:ind w:left="1960" w:hanging="440"/>
      </w:pPr>
    </w:lvl>
    <w:lvl w:ilvl="3" w:tentative="0">
      <w:start w:val="1"/>
      <w:numFmt w:val="decimal"/>
      <w:lvlText w:val="%4."/>
      <w:lvlJc w:val="left"/>
      <w:pPr>
        <w:ind w:left="2400" w:hanging="440"/>
      </w:pPr>
    </w:lvl>
    <w:lvl w:ilvl="4" w:tentative="0">
      <w:start w:val="1"/>
      <w:numFmt w:val="lowerLetter"/>
      <w:lvlText w:val="%5)"/>
      <w:lvlJc w:val="left"/>
      <w:pPr>
        <w:ind w:left="2840" w:hanging="440"/>
      </w:pPr>
    </w:lvl>
    <w:lvl w:ilvl="5" w:tentative="0">
      <w:start w:val="1"/>
      <w:numFmt w:val="lowerRoman"/>
      <w:lvlText w:val="%6."/>
      <w:lvlJc w:val="right"/>
      <w:pPr>
        <w:ind w:left="3280" w:hanging="440"/>
      </w:pPr>
    </w:lvl>
    <w:lvl w:ilvl="6" w:tentative="0">
      <w:start w:val="1"/>
      <w:numFmt w:val="decimal"/>
      <w:lvlText w:val="%7."/>
      <w:lvlJc w:val="left"/>
      <w:pPr>
        <w:ind w:left="3720" w:hanging="440"/>
      </w:pPr>
    </w:lvl>
    <w:lvl w:ilvl="7" w:tentative="0">
      <w:start w:val="1"/>
      <w:numFmt w:val="lowerLetter"/>
      <w:lvlText w:val="%8)"/>
      <w:lvlJc w:val="left"/>
      <w:pPr>
        <w:ind w:left="4160" w:hanging="440"/>
      </w:pPr>
    </w:lvl>
    <w:lvl w:ilvl="8" w:tentative="0">
      <w:start w:val="1"/>
      <w:numFmt w:val="lowerRoman"/>
      <w:lvlText w:val="%9."/>
      <w:lvlJc w:val="right"/>
      <w:pPr>
        <w:ind w:left="460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BAC"/>
    <w:rsid w:val="00025751"/>
    <w:rsid w:val="00091B1F"/>
    <w:rsid w:val="001E3716"/>
    <w:rsid w:val="001F0991"/>
    <w:rsid w:val="001F6DA3"/>
    <w:rsid w:val="00206E92"/>
    <w:rsid w:val="002A41C1"/>
    <w:rsid w:val="00317B1D"/>
    <w:rsid w:val="003301EE"/>
    <w:rsid w:val="003B5C15"/>
    <w:rsid w:val="00452471"/>
    <w:rsid w:val="00516496"/>
    <w:rsid w:val="006A7B66"/>
    <w:rsid w:val="00766DB4"/>
    <w:rsid w:val="00847D9C"/>
    <w:rsid w:val="008E1A34"/>
    <w:rsid w:val="00945D67"/>
    <w:rsid w:val="009A1EB2"/>
    <w:rsid w:val="009D51C4"/>
    <w:rsid w:val="00B130F6"/>
    <w:rsid w:val="00B32BAC"/>
    <w:rsid w:val="00B43F76"/>
    <w:rsid w:val="00CE3652"/>
    <w:rsid w:val="00D722F6"/>
    <w:rsid w:val="00DD44DD"/>
    <w:rsid w:val="00E3414F"/>
    <w:rsid w:val="1F8112E3"/>
    <w:rsid w:val="228C2DF9"/>
    <w:rsid w:val="323245B1"/>
    <w:rsid w:val="7372496E"/>
    <w:rsid w:val="7EA21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none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paragraph" w:styleId="4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2291</Words>
  <Characters>2563</Characters>
  <Lines>78</Lines>
  <Paragraphs>78</Paragraphs>
  <TotalTime>17</TotalTime>
  <ScaleCrop>false</ScaleCrop>
  <LinksUpToDate>false</LinksUpToDate>
  <CharactersWithSpaces>2594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2024-04-15T06:43:00Z</dcterms:created>
  <dc:creator>詹瑾妮</dc:creator>
  <cp:lastModifiedBy>詹瑾妮</cp:lastModifiedBy>
  <dcterms:modified xsi:type="dcterms:W3CDTF">2026-04-20T03:01:43Z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eyJoZGlkIjoiY2E5MDg1ZjlkZTEzODJmOGIwNDQ0YzMwOTllYzVkN2QiLCJ1c2VySWQiOiI0Mjk3MTY0MjcifQ==</vt:lpwstr>
  </property>
  <property fmtid="{D5CDD505-2E9C-101B-9397-08002B2CF9AE}" pid="3" name="KSOProductBuildVer">
    <vt:lpwstr>2052-12.1.0.25225</vt:lpwstr>
  </property>
  <property fmtid="{D5CDD505-2E9C-101B-9397-08002B2CF9AE}" pid="4" name="ICV">
    <vt:lpwstr>6F6DD9E70B674A6699FA0E5231D3A2B4_12</vt:lpwstr>
  </property>
</Properties>
</file>